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B9" w:rsidRDefault="004756B9" w:rsidP="004756B9">
      <w:pPr>
        <w:pStyle w:val="Nagwek8"/>
        <w:rPr>
          <w:i/>
          <w:iCs/>
        </w:rPr>
      </w:pPr>
      <w:r>
        <w:rPr>
          <w:i/>
          <w:iCs/>
        </w:rPr>
        <w:t xml:space="preserve">Załącznik nr 1 do </w:t>
      </w:r>
      <w:r w:rsidR="00CA36A1">
        <w:rPr>
          <w:i/>
          <w:iCs/>
        </w:rPr>
        <w:t>k</w:t>
      </w:r>
      <w:bookmarkStart w:id="0" w:name="_GoBack"/>
      <w:bookmarkEnd w:id="0"/>
      <w:r>
        <w:rPr>
          <w:i/>
          <w:iCs/>
        </w:rPr>
        <w:t>omunikatu ofertowego</w:t>
      </w:r>
    </w:p>
    <w:p w:rsidR="004756B9" w:rsidRDefault="004756B9" w:rsidP="004756B9">
      <w:pPr>
        <w:jc w:val="right"/>
        <w:rPr>
          <w:rFonts w:ascii="Tahoma" w:hAnsi="Tahoma" w:cs="Tahoma"/>
          <w:b/>
          <w:i/>
          <w:iCs/>
        </w:rPr>
      </w:pPr>
    </w:p>
    <w:p w:rsidR="004756B9" w:rsidRDefault="004756B9" w:rsidP="004756B9">
      <w:pPr>
        <w:pStyle w:val="Tekstpodstawowy2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ZOBOWIĄZANIE DO ZACHOWANIA W POUFNOŚCI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831" w:rsidRDefault="004756B9" w:rsidP="00D530DB">
            <w:pPr>
              <w:tabs>
                <w:tab w:val="right" w:leader="dot" w:pos="953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Niniejsze zobowiązanie do zachowania w poufności zostało złożone, na warunkach i zasadach </w:t>
            </w:r>
          </w:p>
          <w:p w:rsidR="00495831" w:rsidRDefault="004756B9" w:rsidP="00D530DB">
            <w:pPr>
              <w:tabs>
                <w:tab w:val="right" w:leader="dot" w:pos="953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określonych poniżej, w dniu ……………………</w:t>
            </w:r>
            <w:proofErr w:type="gramStart"/>
            <w:r w:rsidR="00585A89">
              <w:rPr>
                <w:rFonts w:ascii="Tahoma" w:hAnsi="Tahoma" w:cs="Tahoma"/>
              </w:rPr>
              <w:t>…….</w:t>
            </w:r>
            <w:proofErr w:type="gramEnd"/>
            <w:r w:rsidR="00585A89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w </w:t>
            </w:r>
            <w:r w:rsidR="00D530DB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</w:t>
            </w:r>
          </w:p>
          <w:p w:rsidR="004756B9" w:rsidRDefault="004756B9" w:rsidP="00D530DB">
            <w:pPr>
              <w:tabs>
                <w:tab w:val="right" w:leader="dot" w:pos="953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przez </w:t>
            </w:r>
            <w:r w:rsidR="00495831">
              <w:rPr>
                <w:rFonts w:ascii="Tahoma" w:hAnsi="Tahoma" w:cs="Tahoma"/>
              </w:rPr>
              <w:t xml:space="preserve">firmę </w:t>
            </w:r>
            <w:r w:rsidR="00D530DB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</w:t>
            </w:r>
          </w:p>
          <w:p w:rsidR="004756B9" w:rsidRDefault="004756B9" w:rsidP="00D530DB">
            <w:pPr>
              <w:tabs>
                <w:tab w:val="right" w:leader="dot" w:pos="953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 siedzibą </w:t>
            </w:r>
            <w:r w:rsidR="00D530DB">
              <w:rPr>
                <w:rFonts w:ascii="Tahoma" w:hAnsi="Tahoma" w:cs="Tahoma"/>
              </w:rPr>
              <w:tab/>
            </w:r>
          </w:p>
          <w:p w:rsidR="00495831" w:rsidRDefault="004756B9" w:rsidP="00D530DB">
            <w:pPr>
              <w:tabs>
                <w:tab w:val="right" w:leader="dot" w:pos="953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wpisaną do rejestru przedsiębiorców pod numerem KRS </w:t>
            </w:r>
            <w:r w:rsidR="00D530DB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</w:t>
            </w:r>
          </w:p>
          <w:p w:rsidR="00495831" w:rsidRDefault="004756B9" w:rsidP="00D530DB">
            <w:pPr>
              <w:tabs>
                <w:tab w:val="right" w:leader="dot" w:pos="953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lub do ewidencji działalności gospodarczej prowadzonej przez </w:t>
            </w:r>
          </w:p>
          <w:p w:rsidR="00495831" w:rsidRDefault="004756B9" w:rsidP="00D530DB">
            <w:pPr>
              <w:tabs>
                <w:tab w:val="right" w:leader="dot" w:pos="953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................................................................................. pod numerem </w:t>
            </w:r>
            <w:r w:rsidR="00D530DB">
              <w:rPr>
                <w:rFonts w:ascii="Tahoma" w:hAnsi="Tahoma" w:cs="Tahoma"/>
              </w:rPr>
              <w:tab/>
            </w:r>
            <w:r w:rsidR="00495831">
              <w:rPr>
                <w:rFonts w:ascii="Tahoma" w:hAnsi="Tahoma" w:cs="Tahoma"/>
              </w:rPr>
              <w:t xml:space="preserve"> </w:t>
            </w:r>
          </w:p>
          <w:p w:rsidR="00D530DB" w:rsidRDefault="004756B9" w:rsidP="00D530DB">
            <w:pPr>
              <w:tabs>
                <w:tab w:val="right" w:leader="dot" w:pos="95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reprezentowaną przez </w:t>
            </w:r>
            <w:r w:rsidR="00D530DB">
              <w:rPr>
                <w:rFonts w:ascii="Tahoma" w:hAnsi="Tahoma" w:cs="Tahoma"/>
              </w:rPr>
              <w:tab/>
            </w:r>
          </w:p>
          <w:p w:rsidR="00585A89" w:rsidRDefault="004756B9" w:rsidP="00D530DB">
            <w:pPr>
              <w:tabs>
                <w:tab w:val="right" w:leader="dot" w:pos="95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należycie umocowanego dla celów niniejszego </w:t>
            </w:r>
            <w:r w:rsidR="00495831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obowiązania, </w:t>
            </w:r>
          </w:p>
          <w:p w:rsidR="000368D0" w:rsidRDefault="004756B9" w:rsidP="00D530DB">
            <w:pPr>
              <w:tabs>
                <w:tab w:val="right" w:leader="dot" w:pos="95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wobec </w:t>
            </w:r>
            <w:r w:rsidR="00495831">
              <w:rPr>
                <w:rFonts w:ascii="Tahoma" w:hAnsi="Tahoma" w:cs="Tahoma"/>
              </w:rPr>
              <w:t xml:space="preserve">Polskiego Związku Szachowego </w:t>
            </w:r>
            <w:r w:rsidR="00485D31">
              <w:rPr>
                <w:rFonts w:ascii="Tahoma" w:hAnsi="Tahoma" w:cs="Tahoma"/>
              </w:rPr>
              <w:t xml:space="preserve">z siedzibą 00-514 Warszawa, Marszałkowska 84/92, </w:t>
            </w:r>
          </w:p>
          <w:p w:rsidR="004756B9" w:rsidRDefault="004756B9" w:rsidP="00D530DB">
            <w:pPr>
              <w:tabs>
                <w:tab w:val="right" w:leader="dot" w:pos="9534"/>
              </w:tabs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</w:rPr>
              <w:t xml:space="preserve">w procedurze rozpoczętej </w:t>
            </w:r>
            <w:r w:rsidR="00495831">
              <w:rPr>
                <w:rFonts w:ascii="Tahoma" w:hAnsi="Tahoma" w:cs="Tahoma"/>
              </w:rPr>
              <w:t>zaproszeniem do składania ofert</w:t>
            </w:r>
            <w:r w:rsidR="00585A89">
              <w:rPr>
                <w:rFonts w:ascii="Tahoma" w:hAnsi="Tahoma" w:cs="Tahoma"/>
              </w:rPr>
              <w:t xml:space="preserve"> na wykonanie Centralnego Rejestru PZSzach</w:t>
            </w:r>
            <w:r w:rsidR="00495831">
              <w:rPr>
                <w:rFonts w:ascii="Tahoma" w:hAnsi="Tahoma" w:cs="Tahoma"/>
              </w:rPr>
              <w:t xml:space="preserve">. 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§ 1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Informacje Poufne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85D31" w:rsidP="00D530DB">
            <w:pPr>
              <w:ind w:right="17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</w:t>
            </w:r>
            <w:r w:rsidR="004756B9">
              <w:rPr>
                <w:rFonts w:ascii="Tahoma" w:hAnsi="Tahoma" w:cs="Tahoma"/>
              </w:rPr>
              <w:t xml:space="preserve"> potrzeby niniejszego Zobowiązania do Zachowania w Poufności</w:t>
            </w:r>
            <w:r>
              <w:rPr>
                <w:rFonts w:ascii="Tahoma" w:hAnsi="Tahoma" w:cs="Tahoma"/>
              </w:rPr>
              <w:t xml:space="preserve"> </w:t>
            </w:r>
            <w:r w:rsidR="004756B9">
              <w:rPr>
                <w:rFonts w:ascii="Tahoma" w:hAnsi="Tahoma" w:cs="Tahoma"/>
              </w:rPr>
              <w:t>informacje poufne oznaczają udostępnione, udzielone bądź uzyskane przez Oferenta: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 w:rsidP="004756B9">
            <w:pPr>
              <w:pStyle w:val="ListeABC"/>
              <w:numPr>
                <w:ilvl w:val="0"/>
                <w:numId w:val="6"/>
              </w:numPr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wszelkie informacje związane z </w:t>
            </w:r>
            <w:r w:rsidR="00495831">
              <w:rPr>
                <w:rFonts w:ascii="Tahoma" w:hAnsi="Tahoma" w:cs="Tahoma"/>
                <w:sz w:val="22"/>
              </w:rPr>
              <w:t>przedmiotem i realizacją niniejszego projektu zawarte w dokumentacji</w:t>
            </w:r>
            <w:r w:rsidR="00485D31">
              <w:rPr>
                <w:rFonts w:ascii="Tahoma" w:hAnsi="Tahoma" w:cs="Tahoma"/>
                <w:sz w:val="22"/>
              </w:rPr>
              <w:t xml:space="preserve"> technicznej</w:t>
            </w:r>
            <w:r w:rsidR="00585A89">
              <w:rPr>
                <w:rFonts w:ascii="Tahoma" w:hAnsi="Tahoma" w:cs="Tahoma"/>
                <w:sz w:val="22"/>
              </w:rPr>
              <w:t>.</w:t>
            </w:r>
          </w:p>
          <w:p w:rsidR="00D95E54" w:rsidRDefault="004756B9" w:rsidP="00DA5CD6">
            <w:pPr>
              <w:pStyle w:val="ListeABC"/>
              <w:numPr>
                <w:ilvl w:val="0"/>
                <w:numId w:val="6"/>
              </w:numPr>
              <w:spacing w:after="0"/>
              <w:ind w:right="175"/>
              <w:rPr>
                <w:rFonts w:ascii="Tahoma" w:hAnsi="Tahoma" w:cs="Tahoma"/>
                <w:sz w:val="22"/>
              </w:rPr>
            </w:pPr>
            <w:r w:rsidRPr="00D95E54">
              <w:rPr>
                <w:rFonts w:ascii="Tahoma" w:hAnsi="Tahoma" w:cs="Tahoma"/>
                <w:sz w:val="22"/>
              </w:rPr>
              <w:t xml:space="preserve">wszelkie informacje dotyczące </w:t>
            </w:r>
            <w:r w:rsidR="00495831" w:rsidRPr="00D95E54">
              <w:rPr>
                <w:rFonts w:ascii="Tahoma" w:hAnsi="Tahoma" w:cs="Tahoma"/>
                <w:sz w:val="22"/>
              </w:rPr>
              <w:t xml:space="preserve">Polskiego Związku Szachowego, </w:t>
            </w:r>
            <w:r w:rsidRPr="00D95E54">
              <w:rPr>
                <w:rFonts w:ascii="Tahoma" w:hAnsi="Tahoma" w:cs="Tahoma"/>
                <w:sz w:val="22"/>
              </w:rPr>
              <w:t xml:space="preserve">w tym informacje o charakterze finansowym, prawnym, technicznym, </w:t>
            </w:r>
            <w:r w:rsidR="00485D31" w:rsidRPr="00D95E54">
              <w:rPr>
                <w:rFonts w:ascii="Tahoma" w:hAnsi="Tahoma" w:cs="Tahoma"/>
                <w:sz w:val="22"/>
              </w:rPr>
              <w:t xml:space="preserve">osobowym, </w:t>
            </w:r>
            <w:r w:rsidRPr="00D95E54">
              <w:rPr>
                <w:rFonts w:ascii="Tahoma" w:hAnsi="Tahoma" w:cs="Tahoma"/>
                <w:sz w:val="22"/>
              </w:rPr>
              <w:t xml:space="preserve">handlowym i administracyjnym, </w:t>
            </w:r>
          </w:p>
          <w:p w:rsidR="004756B9" w:rsidRPr="00D95E54" w:rsidRDefault="00485D31" w:rsidP="00DA5CD6">
            <w:pPr>
              <w:pStyle w:val="ListeABC"/>
              <w:numPr>
                <w:ilvl w:val="0"/>
                <w:numId w:val="6"/>
              </w:numPr>
              <w:spacing w:after="0"/>
              <w:ind w:right="175"/>
              <w:rPr>
                <w:rFonts w:ascii="Tahoma" w:hAnsi="Tahoma" w:cs="Tahoma"/>
                <w:sz w:val="22"/>
              </w:rPr>
            </w:pPr>
            <w:r w:rsidRPr="00D95E54">
              <w:rPr>
                <w:rFonts w:ascii="Tahoma" w:hAnsi="Tahoma" w:cs="Tahoma"/>
                <w:sz w:val="22"/>
              </w:rPr>
              <w:t>dane osobowe osób fizycznych przekazane</w:t>
            </w:r>
            <w:r w:rsidR="00585A89" w:rsidRPr="00D95E54">
              <w:rPr>
                <w:rFonts w:ascii="Tahoma" w:hAnsi="Tahoma" w:cs="Tahoma"/>
                <w:sz w:val="22"/>
              </w:rPr>
              <w:t>, udostępnione lub pozyskane</w:t>
            </w:r>
            <w:r w:rsidRPr="00D95E54">
              <w:rPr>
                <w:rFonts w:ascii="Tahoma" w:hAnsi="Tahoma" w:cs="Tahoma"/>
                <w:sz w:val="22"/>
              </w:rPr>
              <w:t xml:space="preserve"> dla potrzeb</w:t>
            </w:r>
            <w:r w:rsidR="00D408E0" w:rsidRPr="00D95E54">
              <w:rPr>
                <w:rFonts w:ascii="Tahoma" w:hAnsi="Tahoma" w:cs="Tahoma"/>
                <w:sz w:val="22"/>
              </w:rPr>
              <w:t xml:space="preserve"> lub w trakcie trwania</w:t>
            </w:r>
            <w:r w:rsidRPr="00D95E54">
              <w:rPr>
                <w:rFonts w:ascii="Tahoma" w:hAnsi="Tahoma" w:cs="Tahoma"/>
                <w:sz w:val="22"/>
              </w:rPr>
              <w:t xml:space="preserve"> </w:t>
            </w:r>
            <w:r w:rsidR="00D408E0" w:rsidRPr="00D95E54">
              <w:rPr>
                <w:rFonts w:ascii="Tahoma" w:hAnsi="Tahoma" w:cs="Tahoma"/>
                <w:sz w:val="22"/>
              </w:rPr>
              <w:t xml:space="preserve">zarówno </w:t>
            </w:r>
            <w:r w:rsidRPr="00D95E54">
              <w:rPr>
                <w:rFonts w:ascii="Tahoma" w:hAnsi="Tahoma" w:cs="Tahoma"/>
                <w:sz w:val="22"/>
              </w:rPr>
              <w:t xml:space="preserve">procesu ofertowania </w:t>
            </w:r>
            <w:r w:rsidR="00D408E0" w:rsidRPr="00D95E54">
              <w:rPr>
                <w:rFonts w:ascii="Tahoma" w:hAnsi="Tahoma" w:cs="Tahoma"/>
                <w:sz w:val="22"/>
              </w:rPr>
              <w:t xml:space="preserve">jak też </w:t>
            </w:r>
            <w:r w:rsidRPr="00D95E54">
              <w:rPr>
                <w:rFonts w:ascii="Tahoma" w:hAnsi="Tahoma" w:cs="Tahoma"/>
                <w:sz w:val="22"/>
              </w:rPr>
              <w:t xml:space="preserve">realizacji </w:t>
            </w:r>
            <w:r w:rsidR="00585A89" w:rsidRPr="00D95E54">
              <w:rPr>
                <w:rFonts w:ascii="Tahoma" w:hAnsi="Tahoma" w:cs="Tahoma"/>
                <w:sz w:val="22"/>
              </w:rPr>
              <w:t>Umowy</w:t>
            </w:r>
          </w:p>
          <w:p w:rsidR="00585A89" w:rsidRPr="00585A89" w:rsidRDefault="00585A89" w:rsidP="00585A89">
            <w:pPr>
              <w:rPr>
                <w:lang w:eastAsia="fr-FR"/>
              </w:rPr>
            </w:pP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D31" w:rsidRDefault="00485D31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§ 2</w:t>
            </w:r>
          </w:p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Zobowiązanie do zachowania poufności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756B9" w:rsidRDefault="004756B9">
            <w:pPr>
              <w:ind w:righ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Oferent zobowiązuje się nieodwołalnie i bezwarunkowo do:</w:t>
            </w:r>
          </w:p>
          <w:p w:rsidR="004756B9" w:rsidRDefault="004756B9" w:rsidP="004756B9">
            <w:pPr>
              <w:pStyle w:val="ListeABC"/>
              <w:numPr>
                <w:ilvl w:val="0"/>
                <w:numId w:val="8"/>
              </w:numPr>
              <w:spacing w:after="0"/>
              <w:ind w:right="17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zachowania w poufności, nieujawniania i niezezwalania na ujawnienie Informacji Poufnych jakiejkolwiek osobie trzeciej, </w:t>
            </w:r>
          </w:p>
          <w:p w:rsidR="00485D31" w:rsidRDefault="004756B9" w:rsidP="004756B9">
            <w:pPr>
              <w:pStyle w:val="ListeABC"/>
              <w:numPr>
                <w:ilvl w:val="0"/>
                <w:numId w:val="8"/>
              </w:numPr>
              <w:spacing w:after="0"/>
              <w:ind w:right="17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niewykorzystywania Informacji Poufnych w jakimkolwiek innym celu niż dla którego zostały ujawnione tj. wyłącznie w celach związanych z </w:t>
            </w:r>
            <w:r w:rsidR="00485D31">
              <w:rPr>
                <w:rFonts w:ascii="Tahoma" w:hAnsi="Tahoma" w:cs="Tahoma"/>
                <w:sz w:val="22"/>
              </w:rPr>
              <w:t>ofertowaniem</w:t>
            </w:r>
            <w:r w:rsidR="00585A89">
              <w:rPr>
                <w:rFonts w:ascii="Tahoma" w:hAnsi="Tahoma" w:cs="Tahoma"/>
                <w:sz w:val="22"/>
              </w:rPr>
              <w:t xml:space="preserve"> i realizacją Umowy</w:t>
            </w:r>
          </w:p>
          <w:p w:rsidR="004756B9" w:rsidRDefault="004756B9" w:rsidP="004756B9">
            <w:pPr>
              <w:pStyle w:val="ListeABC"/>
              <w:numPr>
                <w:ilvl w:val="0"/>
                <w:numId w:val="8"/>
              </w:numPr>
              <w:spacing w:after="0"/>
              <w:ind w:right="17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zapewnienia bezpieczeństwa Informacji Poufnych, a także chronienia ich przed kradzieżą i nieuprawnionym dostępem, </w:t>
            </w:r>
          </w:p>
          <w:p w:rsidR="004756B9" w:rsidRDefault="004756B9" w:rsidP="004756B9">
            <w:pPr>
              <w:pStyle w:val="ListeABC"/>
              <w:numPr>
                <w:ilvl w:val="0"/>
                <w:numId w:val="8"/>
              </w:numPr>
              <w:spacing w:after="0"/>
              <w:ind w:right="17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poinformowania </w:t>
            </w:r>
            <w:r w:rsidR="00485D31">
              <w:rPr>
                <w:rFonts w:ascii="Tahoma" w:hAnsi="Tahoma" w:cs="Tahoma"/>
                <w:sz w:val="22"/>
              </w:rPr>
              <w:t xml:space="preserve">Polskiego Związku Szachowego </w:t>
            </w:r>
            <w:r>
              <w:rPr>
                <w:rFonts w:ascii="Tahoma" w:hAnsi="Tahoma" w:cs="Tahoma"/>
                <w:sz w:val="22"/>
              </w:rPr>
              <w:t>o każdym przypadku naruszenia zobowiązań wynikających z niniejszego Zobowiązania do Zachowania w Poufności oraz o każdym przypadku powstania obowiązku ujawnienia jakiejkolwiek z Informacji Poufnych</w:t>
            </w:r>
            <w:r w:rsidR="00485D31">
              <w:rPr>
                <w:rFonts w:ascii="Tahoma" w:hAnsi="Tahoma" w:cs="Tahoma"/>
                <w:sz w:val="22"/>
              </w:rPr>
              <w:t>.</w:t>
            </w:r>
          </w:p>
          <w:p w:rsidR="000368D0" w:rsidRPr="000368D0" w:rsidRDefault="000368D0" w:rsidP="000368D0">
            <w:pPr>
              <w:rPr>
                <w:lang w:eastAsia="fr-FR"/>
              </w:rPr>
            </w:pPr>
          </w:p>
          <w:p w:rsidR="004756B9" w:rsidRDefault="004756B9" w:rsidP="00485D31">
            <w:pPr>
              <w:pStyle w:val="ListeABC"/>
              <w:numPr>
                <w:ilvl w:val="0"/>
                <w:numId w:val="0"/>
              </w:numPr>
              <w:spacing w:after="0"/>
              <w:ind w:left="567" w:right="175" w:hanging="567"/>
              <w:rPr>
                <w:rFonts w:ascii="Tahoma" w:hAnsi="Tahoma" w:cs="Tahoma"/>
                <w:sz w:val="22"/>
              </w:rPr>
            </w:pPr>
            <w:r w:rsidRPr="00485D31">
              <w:rPr>
                <w:rFonts w:ascii="Tahoma" w:hAnsi="Tahoma" w:cs="Tahoma"/>
                <w:sz w:val="22"/>
              </w:rPr>
              <w:t xml:space="preserve">2. </w:t>
            </w:r>
            <w:r w:rsidR="00485D31">
              <w:rPr>
                <w:rFonts w:ascii="Tahoma" w:hAnsi="Tahoma" w:cs="Tahoma"/>
                <w:sz w:val="22"/>
              </w:rPr>
              <w:tab/>
            </w:r>
            <w:r w:rsidRPr="00485D31">
              <w:rPr>
                <w:rFonts w:ascii="Tahoma" w:hAnsi="Tahoma" w:cs="Tahoma"/>
                <w:sz w:val="22"/>
              </w:rPr>
              <w:t xml:space="preserve">Oferent zobowiązuje się </w:t>
            </w:r>
            <w:r>
              <w:rPr>
                <w:rFonts w:ascii="Tahoma" w:hAnsi="Tahoma" w:cs="Tahoma"/>
                <w:sz w:val="22"/>
              </w:rPr>
              <w:t xml:space="preserve">nieodwołalnie i bezwarunkowo </w:t>
            </w:r>
            <w:r w:rsidRPr="00485D31">
              <w:rPr>
                <w:rFonts w:ascii="Tahoma" w:hAnsi="Tahoma" w:cs="Tahoma"/>
                <w:sz w:val="22"/>
              </w:rPr>
              <w:t xml:space="preserve">nie kopiować jakiegokolwiek dokumentu zawierającego Informacje Poufne, oraz zobowiązuje się nie upoważniać żadnej innej osoby do wykonywania takich czynności, z wyjątkiem sytuacji, gdy na kopiowanie takiego dokumentu uprzednio wyrazi zgodę na piśmie </w:t>
            </w:r>
            <w:r w:rsidR="00485D31" w:rsidRPr="00485D31">
              <w:rPr>
                <w:rFonts w:ascii="Tahoma" w:hAnsi="Tahoma" w:cs="Tahoma"/>
                <w:sz w:val="22"/>
              </w:rPr>
              <w:t>Polski Związek Szachowy</w:t>
            </w:r>
            <w:r w:rsidRPr="00485D31">
              <w:rPr>
                <w:rFonts w:ascii="Tahoma" w:hAnsi="Tahoma" w:cs="Tahoma"/>
                <w:sz w:val="22"/>
              </w:rPr>
              <w:t>. Oferent</w:t>
            </w:r>
            <w:r>
              <w:rPr>
                <w:rFonts w:ascii="Tahoma" w:hAnsi="Tahoma" w:cs="Tahoma"/>
                <w:sz w:val="22"/>
              </w:rPr>
              <w:t xml:space="preserve"> zobowiązany jest do przechowywania Informacji Poufnych we właściwie zabezpieczonym miejscu (tj. zabezpieczonym przed kradzieżą, uszkodzeniem, utratą lub dostępem osób nieupoważnionych).</w:t>
            </w:r>
          </w:p>
          <w:p w:rsidR="00D408E0" w:rsidRDefault="004756B9" w:rsidP="00D408E0">
            <w:pPr>
              <w:pStyle w:val="ListeABC"/>
              <w:numPr>
                <w:ilvl w:val="0"/>
                <w:numId w:val="0"/>
              </w:numPr>
              <w:spacing w:after="0"/>
              <w:ind w:left="567" w:right="175" w:hanging="567"/>
              <w:rPr>
                <w:rFonts w:ascii="Tahoma" w:hAnsi="Tahoma" w:cs="Tahoma"/>
                <w:sz w:val="22"/>
              </w:rPr>
            </w:pPr>
            <w:r w:rsidRPr="00485D31">
              <w:rPr>
                <w:rFonts w:ascii="Tahoma" w:hAnsi="Tahoma" w:cs="Tahoma"/>
                <w:sz w:val="22"/>
              </w:rPr>
              <w:t xml:space="preserve">3. </w:t>
            </w:r>
            <w:r w:rsidR="00485D31">
              <w:rPr>
                <w:rFonts w:ascii="Tahoma" w:hAnsi="Tahoma" w:cs="Tahoma"/>
                <w:sz w:val="22"/>
              </w:rPr>
              <w:tab/>
            </w:r>
            <w:r w:rsidRPr="00485D31">
              <w:rPr>
                <w:rFonts w:ascii="Tahoma" w:hAnsi="Tahoma" w:cs="Tahoma"/>
                <w:sz w:val="22"/>
              </w:rPr>
              <w:t xml:space="preserve">Na każde żądanie </w:t>
            </w:r>
            <w:r w:rsidR="00485D31">
              <w:rPr>
                <w:rFonts w:ascii="Tahoma" w:hAnsi="Tahoma" w:cs="Tahoma"/>
                <w:sz w:val="22"/>
              </w:rPr>
              <w:t xml:space="preserve">Polskiego Związku Szachowego </w:t>
            </w:r>
            <w:r w:rsidRPr="00485D31">
              <w:rPr>
                <w:rFonts w:ascii="Tahoma" w:hAnsi="Tahoma" w:cs="Tahoma"/>
                <w:sz w:val="22"/>
              </w:rPr>
              <w:t xml:space="preserve">oraz w </w:t>
            </w:r>
            <w:proofErr w:type="gramStart"/>
            <w:r w:rsidRPr="00485D31">
              <w:rPr>
                <w:rFonts w:ascii="Tahoma" w:hAnsi="Tahoma" w:cs="Tahoma"/>
                <w:sz w:val="22"/>
              </w:rPr>
              <w:t>przypadku</w:t>
            </w:r>
            <w:proofErr w:type="gramEnd"/>
            <w:r w:rsidRPr="00485D31">
              <w:rPr>
                <w:rFonts w:ascii="Tahoma" w:hAnsi="Tahoma" w:cs="Tahoma"/>
                <w:sz w:val="22"/>
              </w:rPr>
              <w:t xml:space="preserve"> gdy Oferent nie złoży oferty</w:t>
            </w:r>
            <w:r w:rsidR="00D408E0">
              <w:rPr>
                <w:rFonts w:ascii="Tahoma" w:hAnsi="Tahoma" w:cs="Tahoma"/>
                <w:sz w:val="22"/>
              </w:rPr>
              <w:t>,</w:t>
            </w:r>
            <w:r w:rsidRPr="00485D31">
              <w:rPr>
                <w:rFonts w:ascii="Tahoma" w:hAnsi="Tahoma" w:cs="Tahoma"/>
                <w:sz w:val="22"/>
              </w:rPr>
              <w:t xml:space="preserve"> nie dojdzie do zawarcia z nim umowy, </w:t>
            </w:r>
            <w:r w:rsidR="00D408E0">
              <w:rPr>
                <w:rFonts w:ascii="Tahoma" w:hAnsi="Tahoma" w:cs="Tahoma"/>
                <w:sz w:val="22"/>
              </w:rPr>
              <w:t xml:space="preserve">dojdzie do wypowiedzenia Umowy, lub </w:t>
            </w:r>
            <w:r w:rsidR="000368D0">
              <w:rPr>
                <w:rFonts w:ascii="Tahoma" w:hAnsi="Tahoma" w:cs="Tahoma"/>
                <w:sz w:val="22"/>
              </w:rPr>
              <w:t xml:space="preserve">jeśli </w:t>
            </w:r>
            <w:r w:rsidR="00D408E0">
              <w:rPr>
                <w:rFonts w:ascii="Tahoma" w:hAnsi="Tahoma" w:cs="Tahoma"/>
                <w:sz w:val="22"/>
              </w:rPr>
              <w:t xml:space="preserve">w Umowie wykonania nie określono inaczej </w:t>
            </w:r>
            <w:r w:rsidRPr="00485D31">
              <w:rPr>
                <w:rFonts w:ascii="Tahoma" w:hAnsi="Tahoma" w:cs="Tahoma"/>
                <w:sz w:val="22"/>
              </w:rPr>
              <w:t xml:space="preserve">Oferent zobowiązany </w:t>
            </w:r>
            <w:r w:rsidR="000368D0" w:rsidRPr="00485D31">
              <w:rPr>
                <w:rFonts w:ascii="Tahoma" w:hAnsi="Tahoma" w:cs="Tahoma"/>
                <w:sz w:val="22"/>
              </w:rPr>
              <w:t xml:space="preserve">jest </w:t>
            </w:r>
            <w:r w:rsidRPr="00485D31">
              <w:rPr>
                <w:rFonts w:ascii="Tahoma" w:hAnsi="Tahoma" w:cs="Tahoma"/>
                <w:sz w:val="22"/>
              </w:rPr>
              <w:t xml:space="preserve">do </w:t>
            </w:r>
            <w:r w:rsidR="00D408E0">
              <w:rPr>
                <w:rFonts w:ascii="Tahoma" w:hAnsi="Tahoma" w:cs="Tahoma"/>
                <w:sz w:val="22"/>
              </w:rPr>
              <w:t xml:space="preserve">niezwłocznego </w:t>
            </w:r>
            <w:r w:rsidRPr="00485D31">
              <w:rPr>
                <w:rFonts w:ascii="Tahoma" w:hAnsi="Tahoma" w:cs="Tahoma"/>
                <w:sz w:val="22"/>
              </w:rPr>
              <w:t>zwrotu lub</w:t>
            </w:r>
            <w:r w:rsidR="00485D31">
              <w:rPr>
                <w:rFonts w:ascii="Tahoma" w:hAnsi="Tahoma" w:cs="Tahoma"/>
                <w:sz w:val="22"/>
              </w:rPr>
              <w:t>,</w:t>
            </w:r>
            <w:r w:rsidRPr="00485D31">
              <w:rPr>
                <w:rFonts w:ascii="Tahoma" w:hAnsi="Tahoma" w:cs="Tahoma"/>
                <w:sz w:val="22"/>
              </w:rPr>
              <w:t xml:space="preserve"> po uzgodnieniu z </w:t>
            </w:r>
            <w:r w:rsidR="00485D31">
              <w:rPr>
                <w:rFonts w:ascii="Tahoma" w:hAnsi="Tahoma" w:cs="Tahoma"/>
                <w:sz w:val="22"/>
              </w:rPr>
              <w:t>Polskim Związkiem Szachowym</w:t>
            </w:r>
            <w:r w:rsidRPr="00485D31">
              <w:rPr>
                <w:rFonts w:ascii="Tahoma" w:hAnsi="Tahoma" w:cs="Tahoma"/>
                <w:sz w:val="22"/>
              </w:rPr>
              <w:t>, zniszczenia wszelkich dokumentów zawierających Informacje Poufne i ich kopii</w:t>
            </w:r>
            <w:r w:rsidR="00585A89">
              <w:rPr>
                <w:rFonts w:ascii="Tahoma" w:hAnsi="Tahoma" w:cs="Tahoma"/>
                <w:sz w:val="22"/>
              </w:rPr>
              <w:t>. Dotyczy to dokumentów w każdej postaci przechowywania</w:t>
            </w:r>
            <w:r w:rsidRPr="00485D31">
              <w:rPr>
                <w:rFonts w:ascii="Tahoma" w:hAnsi="Tahoma" w:cs="Tahoma"/>
                <w:sz w:val="22"/>
              </w:rPr>
              <w:t xml:space="preserve">. </w:t>
            </w:r>
          </w:p>
          <w:p w:rsidR="00D408E0" w:rsidRPr="00D408E0" w:rsidRDefault="00D408E0" w:rsidP="00D408E0">
            <w:pPr>
              <w:pStyle w:val="ListeABC"/>
              <w:numPr>
                <w:ilvl w:val="0"/>
                <w:numId w:val="0"/>
              </w:numPr>
              <w:spacing w:after="0"/>
              <w:ind w:left="567" w:right="175" w:hanging="567"/>
            </w:pP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§ </w:t>
            </w:r>
            <w:r w:rsidR="00585A89">
              <w:rPr>
                <w:rFonts w:ascii="Tahoma" w:hAnsi="Tahoma" w:cs="Tahoma"/>
                <w:b/>
              </w:rPr>
              <w:t>3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Odpowiedzialność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mocy niniejszego Zobowiązania do Zachowania w Poufności Oferent ponosi odpowiedzialność za własne działania i zaniechania, których skutkiem jest niewykonanie lub nienależyte wykonanie zobowiązań wynikających z niniejszego Zobowiązania do Zachowania w Poufności.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§ </w:t>
            </w:r>
            <w:r w:rsidR="00585A89">
              <w:rPr>
                <w:rFonts w:ascii="Tahoma" w:hAnsi="Tahoma" w:cs="Tahoma"/>
                <w:b/>
              </w:rPr>
              <w:t>4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obowiązywania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 w:rsidP="00585A89">
            <w:pPr>
              <w:ind w:right="17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Obowiązki Oferenta wynikające z niniejszego Zobowiązania do Zachowania w Poufności są nieograniczone w czasie.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§ </w:t>
            </w:r>
            <w:r w:rsidR="00585A89">
              <w:rPr>
                <w:rFonts w:ascii="Tahoma" w:hAnsi="Tahoma" w:cs="Tahoma"/>
                <w:b/>
              </w:rPr>
              <w:t>5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B9" w:rsidRDefault="004756B9">
            <w:pPr>
              <w:ind w:right="17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Postanowienia końcowe</w:t>
            </w:r>
          </w:p>
        </w:tc>
      </w:tr>
      <w:tr w:rsidR="004756B9" w:rsidTr="004756B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756B9" w:rsidRDefault="004756B9">
            <w:pPr>
              <w:ind w:righ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Niniejsze Zobowiązanie do Zachowania w Poufności podlega prawu polskiemu. </w:t>
            </w:r>
          </w:p>
          <w:p w:rsidR="004756B9" w:rsidRDefault="004756B9">
            <w:pPr>
              <w:ind w:righ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Niniejsze Zobowiązanie do Zachowania w Poufności sporządzono w dwóch jednobrzmiących egzemplarzach po jednym egzemplarzu dla Oferenta i </w:t>
            </w:r>
            <w:r w:rsidR="00585A89">
              <w:rPr>
                <w:rFonts w:ascii="Tahoma" w:hAnsi="Tahoma" w:cs="Tahoma"/>
              </w:rPr>
              <w:t>Polskiego Związku Szachowego</w:t>
            </w:r>
            <w:r>
              <w:rPr>
                <w:rFonts w:ascii="Tahoma" w:hAnsi="Tahoma" w:cs="Tahoma"/>
              </w:rPr>
              <w:t xml:space="preserve">. </w:t>
            </w:r>
          </w:p>
          <w:p w:rsidR="004756B9" w:rsidRDefault="004756B9">
            <w:pPr>
              <w:ind w:right="175"/>
              <w:rPr>
                <w:rFonts w:ascii="Tahoma" w:hAnsi="Tahoma" w:cs="Tahoma"/>
              </w:rPr>
            </w:pPr>
          </w:p>
        </w:tc>
      </w:tr>
    </w:tbl>
    <w:p w:rsidR="004756B9" w:rsidRDefault="004756B9" w:rsidP="004756B9">
      <w:pPr>
        <w:rPr>
          <w:rFonts w:ascii="Tahoma" w:hAnsi="Tahoma" w:cs="Tahoma"/>
          <w:lang w:eastAsia="fr-FR"/>
        </w:rPr>
      </w:pPr>
    </w:p>
    <w:p w:rsidR="004756B9" w:rsidRDefault="004756B9" w:rsidP="004756B9">
      <w:pPr>
        <w:rPr>
          <w:rFonts w:ascii="Tahoma" w:hAnsi="Tahoma" w:cs="Tahoma"/>
        </w:rPr>
      </w:pPr>
    </w:p>
    <w:p w:rsidR="004756B9" w:rsidRDefault="004756B9" w:rsidP="004756B9">
      <w:pPr>
        <w:rPr>
          <w:rFonts w:ascii="Tahoma" w:hAnsi="Tahoma" w:cs="Tahoma"/>
        </w:rPr>
      </w:pPr>
    </w:p>
    <w:p w:rsidR="004756B9" w:rsidRDefault="004756B9" w:rsidP="004756B9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………………………………………………….</w:t>
      </w:r>
    </w:p>
    <w:p w:rsidR="004756B9" w:rsidRDefault="004756B9" w:rsidP="004756B9">
      <w:pPr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Podpis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Oferenta</w:t>
      </w:r>
      <w:proofErr w:type="spellEnd"/>
    </w:p>
    <w:p w:rsidR="00585A89" w:rsidRDefault="00585A89" w:rsidP="00585A89">
      <w:pPr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……………………………………………….</w:t>
      </w:r>
    </w:p>
    <w:p w:rsidR="004756B9" w:rsidRDefault="00585A89" w:rsidP="00585A89">
      <w:pPr>
        <w:jc w:val="right"/>
      </w:pPr>
      <w:r>
        <w:t>Stwierdzam odebranie zobowiązania</w:t>
      </w:r>
    </w:p>
    <w:sectPr w:rsidR="004756B9" w:rsidSect="00EA055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017"/>
    <w:multiLevelType w:val="hybridMultilevel"/>
    <w:tmpl w:val="7E0AD3EE"/>
    <w:lvl w:ilvl="0" w:tplc="7E40E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81AA3"/>
    <w:multiLevelType w:val="hybridMultilevel"/>
    <w:tmpl w:val="D996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2486"/>
    <w:multiLevelType w:val="hybridMultilevel"/>
    <w:tmpl w:val="E2C8C6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F0175E"/>
    <w:multiLevelType w:val="hybridMultilevel"/>
    <w:tmpl w:val="0E704A76"/>
    <w:lvl w:ilvl="0" w:tplc="60983EB8">
      <w:start w:val="1"/>
      <w:numFmt w:val="lowerLetter"/>
      <w:pStyle w:val="ListeABC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F2F89"/>
    <w:multiLevelType w:val="hybridMultilevel"/>
    <w:tmpl w:val="4FC0D7F6"/>
    <w:lvl w:ilvl="0" w:tplc="04A46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D48E2"/>
    <w:multiLevelType w:val="hybridMultilevel"/>
    <w:tmpl w:val="7FB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10A2E"/>
    <w:multiLevelType w:val="hybridMultilevel"/>
    <w:tmpl w:val="D114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034D"/>
    <w:multiLevelType w:val="hybridMultilevel"/>
    <w:tmpl w:val="B6D6A3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9"/>
    <w:rsid w:val="000368D0"/>
    <w:rsid w:val="00043A8B"/>
    <w:rsid w:val="004756B9"/>
    <w:rsid w:val="00485D31"/>
    <w:rsid w:val="00495831"/>
    <w:rsid w:val="00533A5B"/>
    <w:rsid w:val="00554A79"/>
    <w:rsid w:val="00585A89"/>
    <w:rsid w:val="00685CE3"/>
    <w:rsid w:val="006E00E0"/>
    <w:rsid w:val="00751ADF"/>
    <w:rsid w:val="007C5888"/>
    <w:rsid w:val="0087226F"/>
    <w:rsid w:val="00AB23FB"/>
    <w:rsid w:val="00BB1686"/>
    <w:rsid w:val="00BE67CA"/>
    <w:rsid w:val="00C660C8"/>
    <w:rsid w:val="00CA36A1"/>
    <w:rsid w:val="00D00420"/>
    <w:rsid w:val="00D408E0"/>
    <w:rsid w:val="00D530DB"/>
    <w:rsid w:val="00D95E54"/>
    <w:rsid w:val="00EA055E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653"/>
  <w15:chartTrackingRefBased/>
  <w15:docId w15:val="{DDCD51ED-0523-403C-A305-D4B40C8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56B9"/>
    <w:pPr>
      <w:keepNext/>
      <w:spacing w:after="0" w:line="240" w:lineRule="auto"/>
      <w:jc w:val="right"/>
      <w:outlineLvl w:val="7"/>
    </w:pPr>
    <w:rPr>
      <w:rFonts w:ascii="Tahoma" w:eastAsia="Times New Roman" w:hAnsi="Tahoma" w:cs="Tahoma"/>
      <w:b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A7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54A79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4756B9"/>
    <w:rPr>
      <w:rFonts w:ascii="Tahoma" w:eastAsia="Times New Roman" w:hAnsi="Tahoma" w:cs="Tahoma"/>
      <w:b/>
      <w:lang w:eastAsia="fr-FR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756B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56B9"/>
    <w:rPr>
      <w:rFonts w:ascii="Bookman Old Style" w:eastAsia="Times New Roman" w:hAnsi="Bookman Old Style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756B9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56B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ListeABC">
    <w:name w:val="ListeABC"/>
    <w:basedOn w:val="Normalny"/>
    <w:next w:val="Normalny"/>
    <w:rsid w:val="004756B9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biuro@andycomp.com.pl</dc:creator>
  <cp:keywords/>
  <dc:description/>
  <cp:lastModifiedBy>user</cp:lastModifiedBy>
  <cp:revision>3</cp:revision>
  <dcterms:created xsi:type="dcterms:W3CDTF">2018-05-28T09:14:00Z</dcterms:created>
  <dcterms:modified xsi:type="dcterms:W3CDTF">2018-05-28T09:14:00Z</dcterms:modified>
</cp:coreProperties>
</file>